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RONPA0118ZPB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rtl w:val="0"/>
        </w:rPr>
      </w:r>
    </w:p>
    <w:p w:rsidR="00000000" w:rsidDel="00000000" w:rsidP="00000000" w:rsidRDefault="00000000" w:rsidRPr="00000000" w14:paraId="00000009">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Locul fosilifer Suslănești</w:t>
      </w:r>
      <w:r w:rsidDel="00000000" w:rsidR="00000000" w:rsidRPr="00000000">
        <w:rPr>
          <w:rtl w:val="0"/>
        </w:rPr>
      </w:r>
    </w:p>
    <w:p w:rsidR="00000000" w:rsidDel="00000000" w:rsidP="00000000" w:rsidRDefault="00000000" w:rsidRPr="00000000" w14:paraId="0000000B">
      <w:pPr>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b w:val="1"/>
                <w:bCs w:val="1"/>
                <w:sz w:val="22"/>
                <w:szCs w:val="22"/>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rtl w:val="0"/>
        </w:rPr>
      </w:r>
    </w:p>
    <w:p w:rsidR="00000000" w:rsidDel="00000000" w:rsidP="00000000" w:rsidRDefault="00000000" w:rsidRPr="00000000" w14:paraId="00000034">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b w:val="1"/>
          <w:bCs w:val="1"/>
          <w:sz w:val="22"/>
          <w:szCs w:val="22"/>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5,23</w:t>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85,05%</w:t>
      </w:r>
      <w:r w:rsidDel="00000000" w:rsidR="00000000" w:rsidRPr="00000000">
        <w:rPr>
          <w:rtl w:val="0"/>
        </w:rPr>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sz w:val="22"/>
                <w:szCs w:val="22"/>
              </w:rPr>
            </w:pPr>
            <w:r w:rsidDel="00000000" w:rsidR="00000000" w:rsidRPr="00000000">
              <w:rPr>
                <w:sz w:val="22"/>
                <w:szCs w:val="22"/>
                <w:rtl w:val="0"/>
              </w:rPr>
              <w:t xml:space="preserve">Sud-Muntenia</w:t>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Argeș</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6A">
      <w:pPr>
        <w:rPr>
          <w:b w:val="1"/>
          <w:bCs w:val="1"/>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F">
      <w:pPr>
        <w:rPr>
          <w:b w:val="1"/>
          <w:bCs w:val="1"/>
          <w:sz w:val="22"/>
          <w:szCs w:val="22"/>
        </w:rPr>
      </w:pPr>
      <w:r w:rsidDel="00000000" w:rsidR="00000000" w:rsidRPr="00000000">
        <w:rPr>
          <w:rtl w:val="0"/>
        </w:rPr>
      </w:r>
    </w:p>
    <w:p w:rsidR="00000000" w:rsidDel="00000000" w:rsidP="00000000" w:rsidRDefault="00000000" w:rsidRPr="00000000" w14:paraId="00000070">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5,23</w:t>
      </w:r>
      <w:r w:rsidDel="00000000" w:rsidR="00000000" w:rsidRPr="00000000">
        <w:rPr>
          <w:rtl w:val="0"/>
        </w:rPr>
      </w:r>
    </w:p>
    <w:p w:rsidR="00000000" w:rsidDel="00000000" w:rsidP="00000000" w:rsidRDefault="00000000" w:rsidRPr="00000000" w14:paraId="00000073">
      <w:pPr>
        <w:rPr>
          <w:sz w:val="22"/>
          <w:szCs w:val="22"/>
        </w:rPr>
      </w:pPr>
      <w:r w:rsidDel="00000000" w:rsidR="00000000" w:rsidRPr="00000000">
        <w:rPr>
          <w:rtl w:val="0"/>
        </w:rPr>
      </w:r>
    </w:p>
    <w:p w:rsidR="00000000" w:rsidDel="00000000" w:rsidP="00000000" w:rsidRDefault="00000000" w:rsidRPr="00000000" w14:paraId="0000007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Hotărârea Consiliului de Miniștri  nr. 625/1955: monument al naturii RONPA0118 Locul fosilifer Suslănești.</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monument al naturii RONPA0118 Locul fosilifer Suslănești.</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9">
      <w:pPr>
        <w:rPr>
          <w:sz w:val="22"/>
          <w:szCs w:val="22"/>
        </w:rPr>
      </w:pPr>
      <w:r w:rsidDel="00000000" w:rsidR="00000000" w:rsidRPr="00000000">
        <w:rPr>
          <w:rtl w:val="0"/>
        </w:rPr>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4545"/>
        <w:gridCol w:w="4425"/>
        <w:tblGridChange w:id="0">
          <w:tblGrid>
            <w:gridCol w:w="4545"/>
            <w:gridCol w:w="442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Mozaic format din terenuri degradate prin eroziune, comunități vegetale pioniere și petice de vegetație arbustivă și forestieră instalate pe porțiunile mai stabile ale versantului.</w:t>
            </w:r>
          </w:p>
          <w:p w:rsidR="00000000" w:rsidDel="00000000" w:rsidP="00000000" w:rsidRDefault="00000000" w:rsidRPr="00000000" w14:paraId="0000007F">
            <w:pPr>
              <w:spacing w:after="0" w:lineRule="auto"/>
              <w:jc w:val="both"/>
              <w:rPr>
                <w:sz w:val="22"/>
                <w:szCs w:val="22"/>
              </w:rPr>
            </w:pPr>
            <w:r w:rsidDel="00000000" w:rsidR="00000000" w:rsidRPr="00000000">
              <w:rPr>
                <w:sz w:val="22"/>
                <w:szCs w:val="22"/>
                <w:rtl w:val="0"/>
              </w:rPr>
              <w:t xml:space="preserve">Vegetația este alcătuită din specii cu toleranță la condiții dificile (sol superficial, deficit de apă, instabilitate a substratului), care contribuie la fixarea solului și la reducerea intensității proceselor erozionale. Distribuția neuniformă a vegetației reflectă dinamica naturală a versantului, unde procesele de eroziune și acumulare sunt încă active.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1193 Bombina variegata</w:t>
            </w:r>
            <w:r w:rsidDel="00000000" w:rsidR="00000000" w:rsidRPr="00000000">
              <w:rPr>
                <w:i w:val="1"/>
                <w:iCs w:val="1"/>
                <w:rtl w:val="0"/>
              </w:rPr>
              <w:br w:type="textWrapping"/>
            </w:r>
            <w:r w:rsidDel="00000000" w:rsidR="00000000" w:rsidRPr="00000000">
              <w:rPr>
                <w:i w:val="1"/>
                <w:iCs w:val="1"/>
                <w:sz w:val="22"/>
                <w:szCs w:val="22"/>
                <w:rtl w:val="0"/>
              </w:rPr>
              <w:t xml:space="preserve">1209 Rana dalmatina </w:t>
            </w:r>
          </w:p>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84">
            <w:pPr>
              <w:spacing w:after="0" w:lineRule="auto"/>
              <w:rPr>
                <w:i w:val="1"/>
                <w:iCs w:val="1"/>
              </w:rPr>
            </w:pPr>
            <w:r w:rsidDel="00000000" w:rsidR="00000000" w:rsidRPr="00000000">
              <w:rPr>
                <w:i w:val="1"/>
                <w:iCs w:val="1"/>
                <w:sz w:val="22"/>
                <w:szCs w:val="22"/>
                <w:rtl w:val="0"/>
              </w:rPr>
              <w:t xml:space="preserve">1283 Coronella austriaca</w:t>
            </w:r>
            <w:r w:rsidDel="00000000" w:rsidR="00000000" w:rsidRPr="00000000">
              <w:rPr>
                <w:i w:val="1"/>
                <w:iCs w:val="1"/>
                <w:rtl w:val="0"/>
              </w:rPr>
              <w:br w:type="textWrapping"/>
            </w:r>
            <w:r w:rsidDel="00000000" w:rsidR="00000000" w:rsidRPr="00000000">
              <w:rPr>
                <w:i w:val="1"/>
                <w:iCs w:val="1"/>
                <w:sz w:val="22"/>
                <w:szCs w:val="22"/>
                <w:rtl w:val="0"/>
              </w:rPr>
              <w:t xml:space="preserve">1261 Lacerta agilis</w:t>
            </w:r>
            <w:r w:rsidDel="00000000" w:rsidR="00000000" w:rsidRPr="00000000">
              <w:rPr>
                <w:i w:val="1"/>
                <w:iCs w:val="1"/>
                <w:rtl w:val="0"/>
              </w:rPr>
              <w:br w:type="textWrapping"/>
            </w:r>
            <w:r w:rsidDel="00000000" w:rsidR="00000000" w:rsidRPr="00000000">
              <w:rPr>
                <w:i w:val="1"/>
                <w:iCs w:val="1"/>
                <w:sz w:val="22"/>
                <w:szCs w:val="22"/>
                <w:rtl w:val="0"/>
              </w:rPr>
              <w:t xml:space="preserve">1256 Podarcis muralis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Zonă cu monument al naturii, care cuprinde mozaic de comunități vegetale pioniere și petice de vegetație arbustivă și forestieră.</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Din punct de vedere al funcționării ecosistemice, zona are o importanță mai degrabă geomorfologică decât biologică. Ea reprezintă un spațiu în care se manifestă procese naturale de modelare a reliefului, oferind totodată microhabitate pentru specii adaptate condițiilor deschise. Vegetația existentă contribuie la stabilizarea locală a versantului, la limitarea transportului de sedimente și la crearea unor condiții favorabile pentru instalarea treptată a unor comunități vegetale mai complexe.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Zona are rol în diversificarea peisajului ecologic local și contribuie la heterogenitatea habitatelor și la menținerea proceselor naturale de succesiune ecologică și evoluție a reliefului.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Obiective și măsuri de management activ pentru ecosistemele de stâncărie / versanți cu substrat expus</w:t>
            </w:r>
          </w:p>
          <w:p w:rsidR="00000000" w:rsidDel="00000000" w:rsidP="00000000" w:rsidRDefault="00000000" w:rsidRPr="00000000" w14:paraId="0000008D">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Conservarea habitatelor de stâncărie / versanți cu substrat expus afectate de presiuni antropice prin măsuri active care reduc deranjul, controlează accesul și refac elementele degradate, menținând caracterul natural al ecosistemului.</w:t>
            </w:r>
          </w:p>
          <w:p w:rsidR="00000000" w:rsidDel="00000000" w:rsidP="00000000" w:rsidRDefault="00000000" w:rsidRPr="00000000" w14:paraId="0000008F">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1. Conservarea vegetației specifice asociate stâncăriei / versanților cu substrat expus.</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2. Reducerea presiunilor antropice (turism intens, trasee erodate, extragerea ilegală a paleofaunei).</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3. Controlul speciilor invazive și refacerea sectoarelor degradate prin măsuri cu impact minim.</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4. Menținerea microhabitatelor și a dinamicii geomorfologice naturale.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5. Monitorizarea efectelor managementului și adaptarea măsurilor.</w:t>
            </w:r>
          </w:p>
          <w:p w:rsidR="00000000" w:rsidDel="00000000" w:rsidP="00000000" w:rsidRDefault="00000000" w:rsidRPr="00000000" w14:paraId="00000095">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1. Accesul se canalizează pe trasee marcate compatibile cu obiectivele de conservare; sectoarele degradate prin frecventare se refac prin măsuri minime (delimitare, semnalizare).</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2. Activități sportive se desfășoară doar în sectoare prestabilite, cu reguli de comportament și restricții sezoniere după caz.</w:t>
            </w:r>
          </w:p>
          <w:p w:rsidR="00000000" w:rsidDel="00000000" w:rsidP="00000000" w:rsidRDefault="00000000" w:rsidRPr="00000000" w14:paraId="00000098">
            <w:pPr>
              <w:spacing w:after="0" w:lineRule="auto"/>
              <w:jc w:val="both"/>
              <w:rPr>
                <w:sz w:val="22"/>
                <w:szCs w:val="22"/>
              </w:rPr>
            </w:pPr>
            <w:r w:rsidDel="00000000" w:rsidR="00000000" w:rsidRPr="00000000">
              <w:rPr>
                <w:sz w:val="22"/>
                <w:szCs w:val="22"/>
                <w:rtl w:val="0"/>
              </w:rPr>
              <w:t xml:space="preserve">3. Speciile invazive se identifică și se controlează prin metode mecanice cu impact redus, evitând perturbarea vegetației native specifice.</w:t>
            </w:r>
          </w:p>
          <w:p w:rsidR="00000000" w:rsidDel="00000000" w:rsidP="00000000" w:rsidRDefault="00000000" w:rsidRPr="00000000" w14:paraId="00000099">
            <w:pPr>
              <w:spacing w:after="0" w:lineRule="auto"/>
              <w:jc w:val="both"/>
              <w:rPr>
                <w:sz w:val="22"/>
                <w:szCs w:val="22"/>
              </w:rPr>
            </w:pPr>
            <w:r w:rsidDel="00000000" w:rsidR="00000000" w:rsidRPr="00000000">
              <w:rPr>
                <w:sz w:val="22"/>
                <w:szCs w:val="22"/>
                <w:rtl w:val="0"/>
              </w:rPr>
              <w:t xml:space="preserve">4. Echipările existente se mențin la minim; nu se deschid trasee noi în sectoare cu specii sensibile de faună sau paleofaună.</w:t>
            </w:r>
          </w:p>
          <w:p w:rsidR="00000000" w:rsidDel="00000000" w:rsidP="00000000" w:rsidRDefault="00000000" w:rsidRPr="00000000" w14:paraId="0000009A">
            <w:pPr>
              <w:spacing w:after="0" w:lineRule="auto"/>
              <w:jc w:val="both"/>
              <w:rPr>
                <w:sz w:val="22"/>
                <w:szCs w:val="22"/>
              </w:rPr>
            </w:pPr>
            <w:r w:rsidDel="00000000" w:rsidR="00000000" w:rsidRPr="00000000">
              <w:rPr>
                <w:sz w:val="22"/>
                <w:szCs w:val="22"/>
                <w:rtl w:val="0"/>
              </w:rPr>
              <w:t xml:space="preserve">5. Refacerea porțiunilor degradate se face prin intervenții cu impact redus, urmărind restabilirea covorului vegetal nativ și a microhabitatelor.</w:t>
            </w:r>
          </w:p>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6. Se monitorizează frecventarea, starea vegetației, prezența speciilor invazive și impactul activităților recreative, iar măsurile se ajustează adaptiv.</w:t>
            </w:r>
          </w:p>
          <w:p w:rsidR="00000000" w:rsidDel="00000000" w:rsidP="00000000" w:rsidRDefault="00000000" w:rsidRPr="00000000" w14:paraId="0000009B">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qpup7cn5c1ny" w:id="0"/>
      <w:bookmarkEnd w:id="0"/>
      <w:r w:rsidDel="00000000" w:rsidR="00000000" w:rsidRPr="00000000">
        <w:rPr>
          <w:sz w:val="22"/>
          <w:szCs w:val="22"/>
          <w:rtl w:val="0"/>
        </w:rPr>
        <w:t xml:space="preserve">Givulescu, R. (2001). Contributions to the knowledge of flora and vegetation of the Tertiary in the extracarpathian area of Romania. Studia Universitatis Babeș-Bolyai, Geologia, XLVI(2), 5-21.</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i1g5zjq6ul8g" w:id="1"/>
      <w:bookmarkEnd w:id="1"/>
      <w:r w:rsidDel="00000000" w:rsidR="00000000" w:rsidRPr="00000000">
        <w:rPr>
          <w:sz w:val="22"/>
          <w:szCs w:val="22"/>
          <w:rtl w:val="0"/>
        </w:rPr>
        <w:t xml:space="preserve">Givulescu, R. (1989), Laurophyllum paucae n. sp. a Lauraceous with preserved epidermis from the Oligocene at Suslăneşti/Argeş/Romania. Olig. Trans. Bas. Sympos. 215-218. </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drpewcbvwqsv" w:id="2"/>
      <w:bookmarkEnd w:id="2"/>
      <w:r w:rsidDel="00000000" w:rsidR="00000000" w:rsidRPr="00000000">
        <w:rPr>
          <w:sz w:val="22"/>
          <w:szCs w:val="22"/>
          <w:rtl w:val="0"/>
        </w:rPr>
        <w:t xml:space="preserve">Paucă, M. (1933), Die fossile Fauna und Flora aus dem Oligozän von Suslăneşti/Muscel in Rumänien. An. Inst. Geol. Rom. 16: 525-570</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bookmarkStart w:colFirst="0" w:colLast="0" w:name="_heading=h.uw687uhxr7ef" w:id="3"/>
      <w:bookmarkEnd w:id="3"/>
      <w:r w:rsidDel="00000000" w:rsidR="00000000" w:rsidRPr="00000000">
        <w:rPr>
          <w:color w:val="000000"/>
          <w:sz w:val="22"/>
          <w:szCs w:val="22"/>
          <w:rtl w:val="0"/>
        </w:rPr>
        <w:t xml:space="preserve">Consultările publice au fost realizate la: 4 noiembrie 2024 – Pitești, jud. Argeș.</w:t>
      </w:r>
    </w:p>
    <w:p w:rsidR="00000000" w:rsidDel="00000000" w:rsidP="00000000" w:rsidRDefault="00000000" w:rsidRPr="00000000" w14:paraId="000000A7">
      <w:pPr>
        <w:pBdr>
          <w:top w:color="000000" w:space="0" w:sz="6" w:val="single"/>
          <w:left w:color="000000" w:space="0" w:sz="6" w:val="single"/>
          <w:bottom w:color="000000" w:space="0" w:sz="6" w:val="single"/>
          <w:right w:color="000000" w:space="0" w:sz="6" w:val="single"/>
          <w:between w:space="0" w:sz="0" w:val="nil"/>
        </w:pBdr>
        <w:spacing w:after="0" w:line="276"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16 decembrie 2025 cu participarea factorilor interesați relevanți județului Argeș. De asemenea au avut loc consultări fizice cu participarea factorilor interesați relevanți dup cum urmează: În zilele 28 - 29 ianuarie 2026 au avut loc consultări la prefectura Argeș.</w:t>
      </w:r>
    </w:p>
    <w:p w:rsidR="00000000" w:rsidDel="00000000" w:rsidP="00000000" w:rsidRDefault="00000000" w:rsidRPr="00000000" w14:paraId="000000A8">
      <w:pPr>
        <w:jc w:val="center"/>
        <w:rPr>
          <w:b w:val="1"/>
          <w:bCs w:val="1"/>
          <w:sz w:val="22"/>
          <w:szCs w:val="22"/>
        </w:rPr>
      </w:pPr>
      <w:r w:rsidDel="00000000" w:rsidR="00000000" w:rsidRPr="00000000">
        <w:rPr>
          <w:rtl w:val="0"/>
        </w:rPr>
      </w:r>
    </w:p>
    <w:p w:rsidR="00000000" w:rsidDel="00000000" w:rsidP="00000000" w:rsidRDefault="00000000" w:rsidRPr="00000000" w14:paraId="000000A9">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A">
      <w:pPr>
        <w:spacing w:line="360" w:lineRule="auto"/>
        <w:rPr>
          <w:sz w:val="22"/>
          <w:szCs w:val="22"/>
        </w:rPr>
      </w:pPr>
      <w:bookmarkStart w:colFirst="0" w:colLast="0" w:name="_heading=h.mgvie32c72bv" w:id="4"/>
      <w:bookmarkEnd w:id="4"/>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AB">
      <w:pPr>
        <w:spacing w:line="360" w:lineRule="auto"/>
        <w:rPr>
          <w:sz w:val="24"/>
          <w:szCs w:val="24"/>
        </w:rPr>
      </w:pPr>
      <w:r w:rsidDel="00000000" w:rsidR="00000000" w:rsidRPr="00000000">
        <w:rPr>
          <w:sz w:val="22"/>
          <w:szCs w:val="22"/>
          <w:rtl w:val="0"/>
        </w:rPr>
        <w:t xml:space="preserve">Link: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4wuT7pSnxZEgY+iDdHxe3o6nXw==">CgMxLjAyDmgucXB1cDdjbjVjMW55Mg5oLmkxZzV6anE2dWw4ZzIOaC5kcnBld2Nidndxc3YyDmgudXc2ODd1aHhyN2VmMg5oLm1ndmllMzJjNzJidjgAciExS2xiZ1c2ZEdtNE9RanpuZXRTVU1BcExYRzZyZWp1RnE=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